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1057" w14:textId="77777777" w:rsidR="00CF1133" w:rsidRDefault="00CF1133" w:rsidP="00CF1133">
      <w:pPr>
        <w:ind w:left="-710" w:firstLine="695"/>
        <w:rPr>
          <w:b/>
          <w:bCs/>
        </w:rPr>
      </w:pPr>
    </w:p>
    <w:p w14:paraId="651BB8C3" w14:textId="77777777" w:rsidR="00CF1133" w:rsidRDefault="003542B0" w:rsidP="00CF1133">
      <w:pPr>
        <w:ind w:left="-710" w:firstLine="695"/>
      </w:pPr>
      <w:r>
        <w:rPr>
          <w:b/>
          <w:bCs/>
        </w:rPr>
        <w:t xml:space="preserve">Lancashire Enterprise Partnership Limited  </w:t>
      </w:r>
    </w:p>
    <w:p w14:paraId="738C04E7" w14:textId="77777777" w:rsidR="00CF1133" w:rsidRPr="00BC4466" w:rsidRDefault="003542B0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  <w:bCs/>
        </w:rPr>
        <w:t xml:space="preserve"> </w:t>
      </w:r>
    </w:p>
    <w:p w14:paraId="5DA4F99E" w14:textId="77777777" w:rsidR="00BC4466" w:rsidRPr="00BC4466" w:rsidRDefault="003542B0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14:paraId="1D090B3A" w14:textId="77777777" w:rsidR="00BC4466" w:rsidRDefault="00BC4466" w:rsidP="00CF1133">
      <w:pPr>
        <w:spacing w:after="0" w:line="256" w:lineRule="auto"/>
        <w:ind w:left="0" w:firstLine="0"/>
      </w:pPr>
    </w:p>
    <w:p w14:paraId="7F0067F7" w14:textId="77777777" w:rsidR="00A3358A" w:rsidRDefault="003542B0" w:rsidP="00A3358A">
      <w:r w:rsidRPr="005D0C06">
        <w:rPr>
          <w:b/>
        </w:rPr>
        <w:t>Date:</w:t>
      </w:r>
      <w:r>
        <w:t xml:space="preserve"> </w:t>
      </w:r>
      <w:r w:rsidR="00D45EFD">
        <w:fldChar w:fldCharType="begin"/>
      </w:r>
      <w:r>
        <w:instrText xml:space="preserve"> DOCPROPERTY  MeetingDate  \* MERGEFORMAT </w:instrText>
      </w:r>
      <w:r w:rsidR="00D45EFD">
        <w:fldChar w:fldCharType="separate"/>
      </w:r>
      <w:r w:rsidR="00D45EFD">
        <w:t>Tuesday, 21 March 2023</w:t>
      </w:r>
      <w:r w:rsidR="00D45EFD">
        <w:fldChar w:fldCharType="end"/>
      </w:r>
    </w:p>
    <w:p w14:paraId="4DA15BE7" w14:textId="77777777" w:rsidR="00A3358A" w:rsidRDefault="00A3358A" w:rsidP="00A3358A"/>
    <w:p w14:paraId="424F796C" w14:textId="77777777" w:rsidR="00A3358A" w:rsidRDefault="003542B0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IssueTitle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Growing Places Investment Strategy v.3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14:paraId="7DF1E92A" w14:textId="6C95841D" w:rsidR="00D7480F" w:rsidRDefault="003542B0" w:rsidP="00CF1133">
      <w:pPr>
        <w:spacing w:after="0" w:line="256" w:lineRule="auto"/>
        <w:ind w:left="0" w:firstLine="0"/>
      </w:pPr>
      <w:r>
        <w:t>(</w:t>
      </w:r>
      <w:r>
        <w:t xml:space="preserve">Appendix </w:t>
      </w:r>
      <w:r>
        <w:t>'</w:t>
      </w:r>
      <w:r>
        <w:t>A</w:t>
      </w:r>
      <w:r>
        <w:t>'</w:t>
      </w:r>
      <w:r>
        <w:t xml:space="preserve"> </w:t>
      </w:r>
      <w:r>
        <w:t>refers</w:t>
      </w:r>
      <w:r>
        <w:t>)</w:t>
      </w:r>
    </w:p>
    <w:p w14:paraId="448AF4A8" w14:textId="77777777" w:rsidR="004C6930" w:rsidRDefault="004C6930" w:rsidP="00CF1133">
      <w:pPr>
        <w:spacing w:after="0" w:line="256" w:lineRule="auto"/>
        <w:ind w:left="0" w:firstLine="0"/>
      </w:pPr>
    </w:p>
    <w:p w14:paraId="21D8A960" w14:textId="77777777" w:rsidR="00F41096" w:rsidRPr="00F41096" w:rsidRDefault="003542B0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 xml:space="preserve">Report Author: </w:t>
      </w:r>
      <w:r w:rsidR="006D629C">
        <w:rPr>
          <w:b/>
        </w:rPr>
        <w:fldChar w:fldCharType="begin"/>
      </w:r>
      <w:r w:rsidR="006D629C">
        <w:rPr>
          <w:b/>
        </w:rPr>
        <w:instrText xml:space="preserve"> DOCPROPERTY  LeadOfficer  \* MERGEFORMAT </w:instrText>
      </w:r>
      <w:r w:rsidR="006D629C">
        <w:rPr>
          <w:b/>
        </w:rPr>
        <w:fldChar w:fldCharType="separate"/>
      </w:r>
      <w:r w:rsidR="006D629C">
        <w:rPr>
          <w:b/>
        </w:rPr>
        <w:t>Sue Roberts</w:t>
      </w:r>
      <w:r w:rsidR="006D629C">
        <w:rPr>
          <w:b/>
        </w:rPr>
        <w:fldChar w:fldCharType="end"/>
      </w:r>
      <w:r w:rsidRPr="00F41096">
        <w:rPr>
          <w:b/>
        </w:rPr>
        <w:t xml:space="preserve">, </w:t>
      </w:r>
      <w:r w:rsidR="006D629C">
        <w:rPr>
          <w:b/>
        </w:rPr>
        <w:fldChar w:fldCharType="begin"/>
      </w:r>
      <w:r w:rsidR="006D629C">
        <w:rPr>
          <w:b/>
        </w:rPr>
        <w:instrText xml:space="preserve"> DOCPROPERTY  LeadOfficerTel  \* MERGEFORMAT </w:instrText>
      </w:r>
      <w:r w:rsidR="006D629C">
        <w:rPr>
          <w:b/>
        </w:rPr>
        <w:fldChar w:fldCharType="separate"/>
      </w:r>
      <w:r w:rsidR="006D629C">
        <w:rPr>
          <w:b/>
        </w:rPr>
        <w:t>Tel: 01772 536605</w:t>
      </w:r>
      <w:r w:rsidR="006D629C">
        <w:rPr>
          <w:b/>
        </w:rPr>
        <w:fldChar w:fldCharType="end"/>
      </w:r>
      <w:r w:rsidRPr="00F41096">
        <w:rPr>
          <w:b/>
        </w:rPr>
        <w:t xml:space="preserve">, </w:t>
      </w:r>
    </w:p>
    <w:p w14:paraId="0FE68146" w14:textId="77777777" w:rsidR="00F41096" w:rsidRPr="00F41096" w:rsidRDefault="003542B0" w:rsidP="00F41096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sue.roberts@lancashire.gov.uk</w:t>
      </w:r>
      <w:r>
        <w:rPr>
          <w:b/>
        </w:rPr>
        <w:fldChar w:fldCharType="end"/>
      </w:r>
    </w:p>
    <w:p w14:paraId="4CBD85E6" w14:textId="3EFA47F1" w:rsidR="00F95C8B" w:rsidRPr="003542B0" w:rsidRDefault="003542B0" w:rsidP="003542B0">
      <w:pPr>
        <w:spacing w:after="0" w:line="256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51EB6" w14:paraId="298442F8" w14:textId="77777777" w:rsidTr="00841251">
        <w:tc>
          <w:tcPr>
            <w:tcW w:w="9180" w:type="dxa"/>
          </w:tcPr>
          <w:p w14:paraId="1DC6B461" w14:textId="77777777" w:rsidR="00F95C8B" w:rsidRDefault="00F95C8B" w:rsidP="00841251">
            <w:pPr>
              <w:pStyle w:val="Header"/>
            </w:pPr>
          </w:p>
          <w:p w14:paraId="6B02AF53" w14:textId="77777777" w:rsidR="00F95C8B" w:rsidRPr="00F95C8B" w:rsidRDefault="003542B0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 xml:space="preserve">Executive </w:t>
            </w:r>
            <w:r w:rsidRPr="00F95C8B">
              <w:rPr>
                <w:rFonts w:ascii="Arial" w:hAnsi="Arial"/>
                <w:b/>
                <w:color w:val="auto"/>
              </w:rPr>
              <w:t>Summary</w:t>
            </w:r>
          </w:p>
          <w:p w14:paraId="610CE4EF" w14:textId="77777777" w:rsidR="00F95C8B" w:rsidRPr="00F95C8B" w:rsidRDefault="00F95C8B" w:rsidP="00841251">
            <w:pPr>
              <w:rPr>
                <w:color w:val="auto"/>
              </w:rPr>
            </w:pPr>
          </w:p>
          <w:p w14:paraId="08C24E97" w14:textId="6B44CA0C" w:rsidR="004C6930" w:rsidRDefault="003542B0" w:rsidP="003542B0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Growing Places Fund has been available to unlock stalled sites in Lancashire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for over 10 years.  </w:t>
            </w:r>
          </w:p>
          <w:p w14:paraId="214D9BF2" w14:textId="77777777" w:rsidR="004C6930" w:rsidRDefault="004C6930" w:rsidP="003542B0">
            <w:pPr>
              <w:jc w:val="both"/>
              <w:rPr>
                <w:color w:val="auto"/>
              </w:rPr>
            </w:pPr>
          </w:p>
          <w:p w14:paraId="5C2B9F9A" w14:textId="7C2DBD4C" w:rsidR="004C6930" w:rsidRDefault="003542B0" w:rsidP="003542B0">
            <w:pPr>
              <w:ind w:left="32" w:hanging="3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fund has been recycled and has new flexibilities which enable it to be used for </w:t>
            </w:r>
            <w:r>
              <w:rPr>
                <w:color w:val="auto"/>
              </w:rPr>
              <w:t>a wider range of purposes. The Investment Strategy sets out a framework to assist the LEP board in decision making with regards to this Fund and the inherent risks that ac</w:t>
            </w:r>
            <w:r>
              <w:rPr>
                <w:color w:val="auto"/>
              </w:rPr>
              <w:t>company it.</w:t>
            </w:r>
          </w:p>
          <w:p w14:paraId="1096D055" w14:textId="77777777" w:rsidR="004C6930" w:rsidRDefault="004C6930" w:rsidP="003542B0">
            <w:pPr>
              <w:jc w:val="both"/>
              <w:rPr>
                <w:color w:val="auto"/>
              </w:rPr>
            </w:pPr>
          </w:p>
          <w:p w14:paraId="04C30A40" w14:textId="77777777" w:rsidR="004C6930" w:rsidRPr="00F95C8B" w:rsidRDefault="003542B0" w:rsidP="003542B0">
            <w:pPr>
              <w:spacing w:line="250" w:lineRule="auto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In response to the feedback from the board at the 13 September meeting and subsequent comments from Company Members version 3 of the strategy includes additional sections covering an investment decision matrix, pricing, social value, net zero,</w:t>
            </w:r>
            <w:r>
              <w:rPr>
                <w:color w:val="auto"/>
              </w:rPr>
              <w:t xml:space="preserve"> investment matrix, pricing applied to previous schemes and the Growing Places flowchart.</w:t>
            </w:r>
          </w:p>
          <w:p w14:paraId="496CE3A9" w14:textId="77777777" w:rsidR="00F95C8B" w:rsidRPr="00F95C8B" w:rsidRDefault="00F95C8B" w:rsidP="003542B0">
            <w:pPr>
              <w:ind w:left="0" w:firstLine="0"/>
              <w:jc w:val="both"/>
              <w:rPr>
                <w:color w:val="auto"/>
              </w:rPr>
            </w:pPr>
          </w:p>
          <w:p w14:paraId="71669CE3" w14:textId="77777777" w:rsidR="00F95C8B" w:rsidRPr="00F95C8B" w:rsidRDefault="003542B0" w:rsidP="003542B0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Recommendation</w:t>
            </w:r>
          </w:p>
          <w:p w14:paraId="089DB025" w14:textId="77777777" w:rsidR="00F95C8B" w:rsidRPr="00F95C8B" w:rsidRDefault="00F95C8B" w:rsidP="003542B0">
            <w:pPr>
              <w:jc w:val="both"/>
              <w:rPr>
                <w:color w:val="auto"/>
              </w:rPr>
            </w:pPr>
          </w:p>
          <w:p w14:paraId="3D221585" w14:textId="5792E841" w:rsidR="004C6930" w:rsidRPr="003542B0" w:rsidRDefault="003542B0" w:rsidP="003542B0">
            <w:pPr>
              <w:ind w:left="32" w:hanging="32"/>
              <w:jc w:val="both"/>
              <w:rPr>
                <w:color w:val="auto"/>
              </w:rPr>
            </w:pPr>
            <w:r>
              <w:rPr>
                <w:color w:val="auto"/>
              </w:rPr>
              <w:t>The board is asked to</w:t>
            </w:r>
            <w:r>
              <w:rPr>
                <w:color w:val="auto"/>
              </w:rPr>
              <w:t xml:space="preserve"> c</w:t>
            </w:r>
            <w:r w:rsidRPr="003542B0">
              <w:rPr>
                <w:color w:val="auto"/>
              </w:rPr>
              <w:t xml:space="preserve">onsider and </w:t>
            </w:r>
            <w:r>
              <w:rPr>
                <w:color w:val="auto"/>
              </w:rPr>
              <w:t>a</w:t>
            </w:r>
            <w:r w:rsidRPr="003542B0">
              <w:rPr>
                <w:color w:val="auto"/>
              </w:rPr>
              <w:t>pprove the Growing Places Investment Strategy</w:t>
            </w:r>
            <w:r>
              <w:rPr>
                <w:color w:val="auto"/>
              </w:rPr>
              <w:t xml:space="preserve"> as set out at Appendix 'A'.</w:t>
            </w:r>
          </w:p>
          <w:p w14:paraId="5FA073B8" w14:textId="77777777" w:rsidR="00F95C8B" w:rsidRDefault="00F95C8B" w:rsidP="004C6930"/>
        </w:tc>
      </w:tr>
    </w:tbl>
    <w:p w14:paraId="5209F7DD" w14:textId="77777777" w:rsidR="00A3358A" w:rsidRDefault="00A3358A" w:rsidP="00CF1133">
      <w:pPr>
        <w:spacing w:after="0" w:line="256" w:lineRule="auto"/>
        <w:ind w:left="0" w:firstLine="0"/>
      </w:pPr>
    </w:p>
    <w:p w14:paraId="6376B5F8" w14:textId="77777777" w:rsidR="00A3358A" w:rsidRDefault="003542B0" w:rsidP="00A3358A">
      <w:pPr>
        <w:rPr>
          <w:b/>
        </w:rPr>
      </w:pPr>
      <w:r>
        <w:rPr>
          <w:b/>
        </w:rPr>
        <w:t xml:space="preserve">Background and Advice </w:t>
      </w:r>
    </w:p>
    <w:p w14:paraId="5C2FDF62" w14:textId="77777777" w:rsidR="00A3358A" w:rsidRDefault="00A3358A" w:rsidP="00A3358A">
      <w:pPr>
        <w:rPr>
          <w:b/>
        </w:rPr>
      </w:pPr>
    </w:p>
    <w:p w14:paraId="339988D8" w14:textId="77777777" w:rsidR="004C6930" w:rsidRDefault="003542B0" w:rsidP="003542B0">
      <w:pPr>
        <w:pStyle w:val="ListParagraph"/>
        <w:numPr>
          <w:ilvl w:val="0"/>
          <w:numId w:val="5"/>
        </w:numPr>
        <w:ind w:hanging="720"/>
        <w:jc w:val="both"/>
      </w:pPr>
      <w:r>
        <w:t xml:space="preserve">The Lancashire Enterprise </w:t>
      </w:r>
      <w:r>
        <w:t>Partnership Ltd received its allocation of Growing Places 10 years ago and it has been used as revolving loan fund to unlock stalled sites ever since.</w:t>
      </w:r>
    </w:p>
    <w:p w14:paraId="2423A2EF" w14:textId="77777777" w:rsidR="004C6930" w:rsidRDefault="004C6930" w:rsidP="003542B0">
      <w:pPr>
        <w:pStyle w:val="ListParagraph"/>
        <w:ind w:hanging="720"/>
        <w:jc w:val="both"/>
      </w:pPr>
    </w:p>
    <w:p w14:paraId="062E63D9" w14:textId="77777777" w:rsidR="004C6930" w:rsidRDefault="003542B0" w:rsidP="003542B0">
      <w:pPr>
        <w:pStyle w:val="ListParagraph"/>
        <w:numPr>
          <w:ilvl w:val="0"/>
          <w:numId w:val="5"/>
        </w:numPr>
        <w:ind w:hanging="720"/>
        <w:jc w:val="both"/>
      </w:pPr>
      <w:r>
        <w:t>The Fund has been completely recycled and now has new flexibilities regarding the range of projects wher</w:t>
      </w:r>
      <w:r>
        <w:t>e the fund can be deployed.</w:t>
      </w:r>
    </w:p>
    <w:p w14:paraId="3CB93813" w14:textId="77777777" w:rsidR="004C6930" w:rsidRDefault="004C6930" w:rsidP="003542B0">
      <w:pPr>
        <w:ind w:left="0" w:hanging="720"/>
        <w:jc w:val="both"/>
      </w:pPr>
    </w:p>
    <w:p w14:paraId="28A90C3E" w14:textId="77777777" w:rsidR="004C6930" w:rsidRDefault="003542B0" w:rsidP="003542B0">
      <w:pPr>
        <w:pStyle w:val="ListParagraph"/>
        <w:numPr>
          <w:ilvl w:val="0"/>
          <w:numId w:val="5"/>
        </w:numPr>
        <w:ind w:hanging="720"/>
        <w:jc w:val="both"/>
      </w:pPr>
      <w:r>
        <w:t xml:space="preserve">At present, the Growing Places Fund is the most significant resource that the LEP has available to unlock and support projects. </w:t>
      </w:r>
    </w:p>
    <w:p w14:paraId="78476A1B" w14:textId="77777777" w:rsidR="004C6930" w:rsidRDefault="004C6930" w:rsidP="003542B0">
      <w:pPr>
        <w:ind w:left="0" w:hanging="720"/>
        <w:jc w:val="both"/>
      </w:pPr>
    </w:p>
    <w:p w14:paraId="2A89EC5D" w14:textId="10F92244" w:rsidR="003542B0" w:rsidRDefault="003542B0" w:rsidP="003542B0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</w:pPr>
      <w:r>
        <w:t>The Investment Strategy at Appendix A sets out a framework to enable the LEP Board consider appli</w:t>
      </w:r>
      <w:r>
        <w:t>cations for use of this Fund and the inherent risks that accompany it</w:t>
      </w:r>
      <w:r>
        <w:t>.</w:t>
      </w:r>
    </w:p>
    <w:p w14:paraId="40A455C8" w14:textId="77777777" w:rsidR="003542B0" w:rsidRDefault="003542B0" w:rsidP="003542B0">
      <w:pPr>
        <w:spacing w:after="0" w:line="240" w:lineRule="auto"/>
        <w:ind w:left="0" w:firstLine="0"/>
        <w:jc w:val="both"/>
      </w:pPr>
    </w:p>
    <w:p w14:paraId="0BC72B10" w14:textId="43024B90" w:rsidR="003542B0" w:rsidRDefault="003542B0" w:rsidP="003542B0">
      <w:pPr>
        <w:pStyle w:val="NormalWeb"/>
        <w:numPr>
          <w:ilvl w:val="0"/>
          <w:numId w:val="5"/>
        </w:numPr>
        <w:spacing w:before="0" w:beforeAutospacing="0" w:after="0" w:afterAutospacing="0"/>
        <w:ind w:hanging="720"/>
        <w:jc w:val="both"/>
      </w:pPr>
      <w:r>
        <w:t>L</w:t>
      </w:r>
      <w:r>
        <w:t>CC legal services team provides support to the LEP in appointing and liaising with external legal advisors to ensure that adequate legal agreements are put in place to protect the LEP</w:t>
      </w:r>
      <w:r>
        <w:t>'s interests. The cost of the external legal advice is covered by the borrower.</w:t>
      </w:r>
    </w:p>
    <w:p w14:paraId="4858ED41" w14:textId="77777777" w:rsidR="003542B0" w:rsidRDefault="003542B0" w:rsidP="003542B0">
      <w:pPr>
        <w:pStyle w:val="Heading5"/>
        <w:rPr>
          <w:rFonts w:ascii="Arial" w:hAnsi="Arial"/>
          <w:b/>
          <w:color w:val="auto"/>
        </w:rPr>
      </w:pPr>
    </w:p>
    <w:p w14:paraId="5F725015" w14:textId="28CC800B" w:rsidR="003542B0" w:rsidRPr="00AB6785" w:rsidRDefault="003542B0" w:rsidP="003542B0">
      <w:pPr>
        <w:pStyle w:val="Heading5"/>
        <w:rPr>
          <w:rFonts w:ascii="Arial" w:hAnsi="Arial"/>
          <w:b/>
          <w:color w:val="auto"/>
        </w:rPr>
      </w:pPr>
      <w:r w:rsidRPr="00AB6785">
        <w:rPr>
          <w:rFonts w:ascii="Arial" w:hAnsi="Arial"/>
          <w:b/>
          <w:color w:val="auto"/>
        </w:rPr>
        <w:t>List of Background Papers</w:t>
      </w:r>
    </w:p>
    <w:p w14:paraId="3F771A08" w14:textId="77777777" w:rsidR="003542B0" w:rsidRDefault="003542B0" w:rsidP="003542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3542B0" w14:paraId="6957D6B1" w14:textId="77777777" w:rsidTr="00454F6F">
        <w:tc>
          <w:tcPr>
            <w:tcW w:w="3510" w:type="dxa"/>
          </w:tcPr>
          <w:p w14:paraId="572E8E08" w14:textId="77777777" w:rsidR="003542B0" w:rsidRPr="00AB6785" w:rsidRDefault="003542B0" w:rsidP="00454F6F">
            <w:pPr>
              <w:pStyle w:val="Heading7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t>Paper</w:t>
            </w:r>
          </w:p>
        </w:tc>
        <w:tc>
          <w:tcPr>
            <w:tcW w:w="2492" w:type="dxa"/>
          </w:tcPr>
          <w:p w14:paraId="300B9CAD" w14:textId="77777777" w:rsidR="003542B0" w:rsidRPr="00AB6785" w:rsidRDefault="003542B0" w:rsidP="00454F6F">
            <w:pPr>
              <w:pStyle w:val="Heading7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t>Date</w:t>
            </w:r>
          </w:p>
        </w:tc>
        <w:tc>
          <w:tcPr>
            <w:tcW w:w="3178" w:type="dxa"/>
          </w:tcPr>
          <w:p w14:paraId="48867589" w14:textId="77777777" w:rsidR="003542B0" w:rsidRPr="00AB6785" w:rsidRDefault="003542B0" w:rsidP="00454F6F">
            <w:pPr>
              <w:pStyle w:val="Heading7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t>Contact/Tel</w:t>
            </w:r>
          </w:p>
        </w:tc>
      </w:tr>
      <w:tr w:rsidR="003542B0" w14:paraId="76AF90EB" w14:textId="77777777" w:rsidTr="00454F6F">
        <w:tc>
          <w:tcPr>
            <w:tcW w:w="3510" w:type="dxa"/>
          </w:tcPr>
          <w:p w14:paraId="69D440E8" w14:textId="77777777" w:rsidR="003542B0" w:rsidRPr="00AB6785" w:rsidRDefault="003542B0" w:rsidP="00454F6F">
            <w:pPr>
              <w:rPr>
                <w:color w:val="auto"/>
              </w:rPr>
            </w:pPr>
          </w:p>
          <w:p w14:paraId="0ECAE0BF" w14:textId="77777777" w:rsidR="003542B0" w:rsidRDefault="003542B0" w:rsidP="00454F6F">
            <w:pPr>
              <w:rPr>
                <w:color w:val="auto"/>
              </w:rPr>
            </w:pPr>
            <w:r>
              <w:rPr>
                <w:color w:val="auto"/>
              </w:rPr>
              <w:t>None</w:t>
            </w:r>
          </w:p>
          <w:p w14:paraId="181CB869" w14:textId="77777777" w:rsidR="003542B0" w:rsidRPr="00AB6785" w:rsidRDefault="003542B0" w:rsidP="00454F6F">
            <w:pPr>
              <w:rPr>
                <w:color w:val="auto"/>
              </w:rPr>
            </w:pPr>
          </w:p>
        </w:tc>
        <w:tc>
          <w:tcPr>
            <w:tcW w:w="2492" w:type="dxa"/>
          </w:tcPr>
          <w:p w14:paraId="20DB5064" w14:textId="77777777" w:rsidR="003542B0" w:rsidRPr="00AB6785" w:rsidRDefault="003542B0" w:rsidP="00454F6F">
            <w:pPr>
              <w:rPr>
                <w:color w:val="auto"/>
              </w:rPr>
            </w:pPr>
          </w:p>
        </w:tc>
        <w:tc>
          <w:tcPr>
            <w:tcW w:w="3178" w:type="dxa"/>
          </w:tcPr>
          <w:p w14:paraId="18A7C14E" w14:textId="77777777" w:rsidR="003542B0" w:rsidRPr="00AB6785" w:rsidRDefault="003542B0" w:rsidP="00454F6F">
            <w:pPr>
              <w:rPr>
                <w:color w:val="auto"/>
              </w:rPr>
            </w:pPr>
          </w:p>
        </w:tc>
      </w:tr>
      <w:tr w:rsidR="003542B0" w14:paraId="4EFD76BB" w14:textId="77777777" w:rsidTr="00454F6F">
        <w:trPr>
          <w:cantSplit/>
        </w:trPr>
        <w:tc>
          <w:tcPr>
            <w:tcW w:w="9180" w:type="dxa"/>
            <w:gridSpan w:val="3"/>
          </w:tcPr>
          <w:p w14:paraId="4857816E" w14:textId="77777777" w:rsidR="003542B0" w:rsidRDefault="003542B0" w:rsidP="00454F6F">
            <w:r>
              <w:t xml:space="preserve">Reason for inclusion in Part II, if appropriate </w:t>
            </w:r>
          </w:p>
          <w:p w14:paraId="600D2EC1" w14:textId="77777777" w:rsidR="003542B0" w:rsidRDefault="003542B0" w:rsidP="00454F6F"/>
          <w:p w14:paraId="74C77B20" w14:textId="77777777" w:rsidR="003542B0" w:rsidRPr="00F95C8B" w:rsidRDefault="003542B0" w:rsidP="00454F6F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14:paraId="23CB72BD" w14:textId="77777777" w:rsidR="003542B0" w:rsidRDefault="003542B0" w:rsidP="00454F6F">
            <w:pPr>
              <w:jc w:val="both"/>
            </w:pPr>
          </w:p>
        </w:tc>
      </w:tr>
    </w:tbl>
    <w:p w14:paraId="0F210CC8" w14:textId="77777777" w:rsidR="004C6930" w:rsidRDefault="004C6930" w:rsidP="003542B0">
      <w:pPr>
        <w:jc w:val="both"/>
        <w:rPr>
          <w:b/>
        </w:rPr>
      </w:pPr>
    </w:p>
    <w:sectPr w:rsidR="004C69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BDAE" w14:textId="77777777" w:rsidR="00000000" w:rsidRDefault="003542B0">
      <w:pPr>
        <w:spacing w:after="0" w:line="240" w:lineRule="auto"/>
      </w:pPr>
      <w:r>
        <w:separator/>
      </w:r>
    </w:p>
  </w:endnote>
  <w:endnote w:type="continuationSeparator" w:id="0">
    <w:p w14:paraId="6AFDB9AC" w14:textId="77777777" w:rsidR="00000000" w:rsidRDefault="0035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ADD1" w14:textId="77777777" w:rsidR="00000000" w:rsidRDefault="003542B0">
      <w:pPr>
        <w:spacing w:after="0" w:line="240" w:lineRule="auto"/>
      </w:pPr>
      <w:r>
        <w:separator/>
      </w:r>
    </w:p>
  </w:footnote>
  <w:footnote w:type="continuationSeparator" w:id="0">
    <w:p w14:paraId="6DC9C408" w14:textId="77777777" w:rsidR="00000000" w:rsidRDefault="0035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09B0" w14:textId="77777777" w:rsidR="00CF1133" w:rsidRDefault="003542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EC2D54" wp14:editId="7593DD2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448054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3FA5501"/>
    <w:multiLevelType w:val="hybridMultilevel"/>
    <w:tmpl w:val="A1F6D68C"/>
    <w:lvl w:ilvl="0" w:tplc="6CEAC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7E7A84" w:tentative="1">
      <w:start w:val="1"/>
      <w:numFmt w:val="lowerLetter"/>
      <w:lvlText w:val="%2."/>
      <w:lvlJc w:val="left"/>
      <w:pPr>
        <w:ind w:left="1440" w:hanging="360"/>
      </w:pPr>
    </w:lvl>
    <w:lvl w:ilvl="2" w:tplc="8B2EFC76" w:tentative="1">
      <w:start w:val="1"/>
      <w:numFmt w:val="lowerRoman"/>
      <w:lvlText w:val="%3."/>
      <w:lvlJc w:val="right"/>
      <w:pPr>
        <w:ind w:left="2160" w:hanging="180"/>
      </w:pPr>
    </w:lvl>
    <w:lvl w:ilvl="3" w:tplc="D58CE4FE" w:tentative="1">
      <w:start w:val="1"/>
      <w:numFmt w:val="decimal"/>
      <w:lvlText w:val="%4."/>
      <w:lvlJc w:val="left"/>
      <w:pPr>
        <w:ind w:left="2880" w:hanging="360"/>
      </w:pPr>
    </w:lvl>
    <w:lvl w:ilvl="4" w:tplc="7CB0F088" w:tentative="1">
      <w:start w:val="1"/>
      <w:numFmt w:val="lowerLetter"/>
      <w:lvlText w:val="%5."/>
      <w:lvlJc w:val="left"/>
      <w:pPr>
        <w:ind w:left="3600" w:hanging="360"/>
      </w:pPr>
    </w:lvl>
    <w:lvl w:ilvl="5" w:tplc="5AFA9632" w:tentative="1">
      <w:start w:val="1"/>
      <w:numFmt w:val="lowerRoman"/>
      <w:lvlText w:val="%6."/>
      <w:lvlJc w:val="right"/>
      <w:pPr>
        <w:ind w:left="4320" w:hanging="180"/>
      </w:pPr>
    </w:lvl>
    <w:lvl w:ilvl="6" w:tplc="60DC6614" w:tentative="1">
      <w:start w:val="1"/>
      <w:numFmt w:val="decimal"/>
      <w:lvlText w:val="%7."/>
      <w:lvlJc w:val="left"/>
      <w:pPr>
        <w:ind w:left="5040" w:hanging="360"/>
      </w:pPr>
    </w:lvl>
    <w:lvl w:ilvl="7" w:tplc="63A8A27E" w:tentative="1">
      <w:start w:val="1"/>
      <w:numFmt w:val="lowerLetter"/>
      <w:lvlText w:val="%8."/>
      <w:lvlJc w:val="left"/>
      <w:pPr>
        <w:ind w:left="5760" w:hanging="360"/>
      </w:pPr>
    </w:lvl>
    <w:lvl w:ilvl="8" w:tplc="30E4F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3D4"/>
    <w:multiLevelType w:val="hybridMultilevel"/>
    <w:tmpl w:val="0BBA2C0C"/>
    <w:lvl w:ilvl="0" w:tplc="7E9C8D14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C16CC88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A094EB9C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7BDABEB2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41FCDD3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3970C89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D0CCA8CA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EACAFA0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9612DA2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B9728C8"/>
    <w:multiLevelType w:val="hybridMultilevel"/>
    <w:tmpl w:val="D784A0DE"/>
    <w:lvl w:ilvl="0" w:tplc="B254C6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D92B7DE" w:tentative="1">
      <w:start w:val="1"/>
      <w:numFmt w:val="lowerLetter"/>
      <w:lvlText w:val="%2."/>
      <w:lvlJc w:val="left"/>
      <w:pPr>
        <w:ind w:left="1440" w:hanging="360"/>
      </w:pPr>
    </w:lvl>
    <w:lvl w:ilvl="2" w:tplc="53F08B7A" w:tentative="1">
      <w:start w:val="1"/>
      <w:numFmt w:val="lowerRoman"/>
      <w:lvlText w:val="%3."/>
      <w:lvlJc w:val="right"/>
      <w:pPr>
        <w:ind w:left="2160" w:hanging="180"/>
      </w:pPr>
    </w:lvl>
    <w:lvl w:ilvl="3" w:tplc="55669612" w:tentative="1">
      <w:start w:val="1"/>
      <w:numFmt w:val="decimal"/>
      <w:lvlText w:val="%4."/>
      <w:lvlJc w:val="left"/>
      <w:pPr>
        <w:ind w:left="2880" w:hanging="360"/>
      </w:pPr>
    </w:lvl>
    <w:lvl w:ilvl="4" w:tplc="BA640856" w:tentative="1">
      <w:start w:val="1"/>
      <w:numFmt w:val="lowerLetter"/>
      <w:lvlText w:val="%5."/>
      <w:lvlJc w:val="left"/>
      <w:pPr>
        <w:ind w:left="3600" w:hanging="360"/>
      </w:pPr>
    </w:lvl>
    <w:lvl w:ilvl="5" w:tplc="17A0C58C" w:tentative="1">
      <w:start w:val="1"/>
      <w:numFmt w:val="lowerRoman"/>
      <w:lvlText w:val="%6."/>
      <w:lvlJc w:val="right"/>
      <w:pPr>
        <w:ind w:left="4320" w:hanging="180"/>
      </w:pPr>
    </w:lvl>
    <w:lvl w:ilvl="6" w:tplc="2C620172" w:tentative="1">
      <w:start w:val="1"/>
      <w:numFmt w:val="decimal"/>
      <w:lvlText w:val="%7."/>
      <w:lvlJc w:val="left"/>
      <w:pPr>
        <w:ind w:left="5040" w:hanging="360"/>
      </w:pPr>
    </w:lvl>
    <w:lvl w:ilvl="7" w:tplc="E33E49EC" w:tentative="1">
      <w:start w:val="1"/>
      <w:numFmt w:val="lowerLetter"/>
      <w:lvlText w:val="%8."/>
      <w:lvlJc w:val="left"/>
      <w:pPr>
        <w:ind w:left="5760" w:hanging="360"/>
      </w:pPr>
    </w:lvl>
    <w:lvl w:ilvl="8" w:tplc="45505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 w16cid:durableId="288778943">
    <w:abstractNumId w:val="2"/>
  </w:num>
  <w:num w:numId="2" w16cid:durableId="982663618">
    <w:abstractNumId w:val="0"/>
  </w:num>
  <w:num w:numId="3" w16cid:durableId="1188836377">
    <w:abstractNumId w:val="4"/>
  </w:num>
  <w:num w:numId="4" w16cid:durableId="1359894570">
    <w:abstractNumId w:val="3"/>
  </w:num>
  <w:num w:numId="5" w16cid:durableId="661397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33"/>
    <w:rsid w:val="00094697"/>
    <w:rsid w:val="000D2752"/>
    <w:rsid w:val="00113335"/>
    <w:rsid w:val="00145322"/>
    <w:rsid w:val="001F5AEF"/>
    <w:rsid w:val="00284E9F"/>
    <w:rsid w:val="002B49F2"/>
    <w:rsid w:val="002E69BD"/>
    <w:rsid w:val="0035233C"/>
    <w:rsid w:val="003542B0"/>
    <w:rsid w:val="003768BB"/>
    <w:rsid w:val="00386D34"/>
    <w:rsid w:val="003B18C2"/>
    <w:rsid w:val="004176B4"/>
    <w:rsid w:val="00434CCE"/>
    <w:rsid w:val="004C6930"/>
    <w:rsid w:val="005206EF"/>
    <w:rsid w:val="005D0C06"/>
    <w:rsid w:val="005D7059"/>
    <w:rsid w:val="00651EB6"/>
    <w:rsid w:val="006C0636"/>
    <w:rsid w:val="006D629C"/>
    <w:rsid w:val="00705C48"/>
    <w:rsid w:val="00727978"/>
    <w:rsid w:val="007A7CEE"/>
    <w:rsid w:val="007D5F5A"/>
    <w:rsid w:val="00841251"/>
    <w:rsid w:val="00870C84"/>
    <w:rsid w:val="008D7B94"/>
    <w:rsid w:val="0096218F"/>
    <w:rsid w:val="00A3358A"/>
    <w:rsid w:val="00AB6785"/>
    <w:rsid w:val="00B13ACE"/>
    <w:rsid w:val="00B25A7B"/>
    <w:rsid w:val="00B439EA"/>
    <w:rsid w:val="00BC4466"/>
    <w:rsid w:val="00C52160"/>
    <w:rsid w:val="00CD3B45"/>
    <w:rsid w:val="00CF1133"/>
    <w:rsid w:val="00D45EFD"/>
    <w:rsid w:val="00D7480F"/>
    <w:rsid w:val="00E60319"/>
    <w:rsid w:val="00F01FE2"/>
    <w:rsid w:val="00F41096"/>
    <w:rsid w:val="00F95C8B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E766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C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C0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C6930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</w:rPr>
  </w:style>
  <w:style w:type="paragraph" w:styleId="Revision">
    <w:name w:val="Revision"/>
    <w:hidden/>
    <w:uiPriority w:val="99"/>
    <w:semiHidden/>
    <w:rsid w:val="003542B0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D0C4-9107-4DA1-AF3A-7DE7ABF1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Milroy, Andy</cp:lastModifiedBy>
  <cp:revision>11</cp:revision>
  <dcterms:created xsi:type="dcterms:W3CDTF">2014-12-03T08:17:00Z</dcterms:created>
  <dcterms:modified xsi:type="dcterms:W3CDTF">2023-03-17T10:50:00Z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Title">
    <vt:lpwstr>Growing Places Investment Strategy v.3</vt:lpwstr>
  </property>
  <property fmtid="{D5CDD505-2E9C-101B-9397-08002B2CF9AE}" pid="3" name="LeadOfficer">
    <vt:lpwstr>Sue Roberts</vt:lpwstr>
  </property>
  <property fmtid="{D5CDD505-2E9C-101B-9397-08002B2CF9AE}" pid="4" name="LeadOfficerEmail">
    <vt:lpwstr>sue.roberts@lancashire.gov.uk</vt:lpwstr>
  </property>
  <property fmtid="{D5CDD505-2E9C-101B-9397-08002B2CF9AE}" pid="5" name="LeadOfficerTel">
    <vt:lpwstr>Tel: 01772 536605</vt:lpwstr>
  </property>
  <property fmtid="{D5CDD505-2E9C-101B-9397-08002B2CF9AE}" pid="6" name="MeetingDate">
    <vt:lpwstr>Tuesday, 21 March 2023</vt:lpwstr>
  </property>
</Properties>
</file>